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2571CC7E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325ACB">
        <w:rPr>
          <w:rFonts w:ascii="Arial" w:hAnsi="Arial" w:cs="Arial"/>
          <w:b/>
          <w:bCs/>
          <w:sz w:val="22"/>
        </w:rPr>
        <w:t>4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325ACB">
        <w:rPr>
          <w:rFonts w:ascii="Arial" w:hAnsi="Arial" w:cs="Arial"/>
          <w:b/>
          <w:bCs/>
          <w:sz w:val="22"/>
        </w:rPr>
        <w:t>9099</w:t>
      </w:r>
      <w:r w:rsidR="003C02A6">
        <w:rPr>
          <w:rFonts w:ascii="Arial" w:hAnsi="Arial" w:cs="Arial"/>
          <w:b/>
          <w:bCs/>
          <w:sz w:val="22"/>
        </w:rPr>
        <w:t>1</w:t>
      </w:r>
    </w:p>
    <w:p w14:paraId="0351D878" w14:textId="0B931B7F" w:rsidR="0066434B" w:rsidRPr="00341F45" w:rsidRDefault="00325ACB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325ACB">
        <w:rPr>
          <w:rFonts w:ascii="Arial" w:hAnsi="Arial" w:cs="Arial"/>
          <w:b/>
          <w:bCs/>
          <w:sz w:val="22"/>
        </w:rPr>
        <w:t>Newport Beach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CA, U.S.A.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June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6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Pr="00325ACB">
        <w:rPr>
          <w:rFonts w:ascii="Arial" w:hAnsi="Arial" w:cs="Arial"/>
          <w:b/>
          <w:bCs/>
          <w:sz w:val="22"/>
        </w:rPr>
        <w:t>2019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33A1D075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62EE1">
        <w:rPr>
          <w:rFonts w:ascii="Arial" w:hAnsi="Arial"/>
          <w:sz w:val="22"/>
        </w:rPr>
        <w:t>9.</w:t>
      </w:r>
      <w:r w:rsidR="003C02A6">
        <w:rPr>
          <w:rFonts w:ascii="Arial" w:hAnsi="Arial"/>
          <w:sz w:val="22"/>
        </w:rPr>
        <w:t>2.1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408745B1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3C02A6" w:rsidRPr="003C02A6">
        <w:rPr>
          <w:rFonts w:ascii="Arial" w:hAnsi="Arial"/>
          <w:sz w:val="22"/>
        </w:rPr>
        <w:t>Single Tx UL LTE-NR DC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47733FE8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5736127F" w14:textId="721267B5" w:rsidR="00613073" w:rsidRDefault="00613073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the current Rel-15 RAN1 feature list [1], there are two features targeting SUO Case 1 operation</w:t>
      </w:r>
      <w:r w:rsidR="00B751B2">
        <w:rPr>
          <w:rFonts w:eastAsia="MS Mincho"/>
          <w:lang w:val="en-US"/>
        </w:rPr>
        <w:t>;</w:t>
      </w:r>
      <w:r>
        <w:rPr>
          <w:rFonts w:eastAsia="MS Mincho"/>
          <w:lang w:val="en-US"/>
        </w:rPr>
        <w:t xml:space="preserve"> FG 6-13 and 8-1a</w:t>
      </w:r>
      <w:r w:rsidR="00B05A77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</w:t>
      </w:r>
      <w:r w:rsidR="00591E93">
        <w:rPr>
          <w:rFonts w:eastAsia="MS Mincho"/>
          <w:lang w:val="en-US"/>
        </w:rPr>
        <w:t xml:space="preserve">both </w:t>
      </w:r>
      <w:r>
        <w:rPr>
          <w:rFonts w:eastAsia="MS Mincho"/>
          <w:lang w:val="en-US"/>
        </w:rPr>
        <w:t>listed below</w:t>
      </w:r>
      <w:r w:rsidR="00D81F64">
        <w:rPr>
          <w:rFonts w:eastAsia="MS Mincho"/>
          <w:lang w:val="en-US"/>
        </w:rPr>
        <w:t xml:space="preserve">. </w:t>
      </w:r>
    </w:p>
    <w:p w14:paraId="06CB0663" w14:textId="35C0CA2C" w:rsidR="00613073" w:rsidRDefault="00613073" w:rsidP="00417EDD">
      <w:pPr>
        <w:spacing w:after="0"/>
        <w:rPr>
          <w:rFonts w:eastAsia="MS Mincho"/>
          <w:lang w:val="en-US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6"/>
        <w:gridCol w:w="905"/>
        <w:gridCol w:w="1436"/>
        <w:gridCol w:w="274"/>
        <w:gridCol w:w="270"/>
        <w:gridCol w:w="219"/>
        <w:gridCol w:w="230"/>
        <w:gridCol w:w="270"/>
        <w:gridCol w:w="270"/>
        <w:gridCol w:w="219"/>
        <w:gridCol w:w="767"/>
        <w:gridCol w:w="219"/>
        <w:gridCol w:w="1850"/>
        <w:gridCol w:w="2144"/>
      </w:tblGrid>
      <w:tr w:rsidR="00613073" w:rsidRPr="00705BA5" w14:paraId="32E1695F" w14:textId="77777777" w:rsidTr="00613073">
        <w:trPr>
          <w:trHeight w:val="1035"/>
        </w:trPr>
        <w:tc>
          <w:tcPr>
            <w:tcW w:w="234" w:type="pct"/>
            <w:shd w:val="clear" w:color="auto" w:fill="auto"/>
            <w:vAlign w:val="center"/>
            <w:hideMark/>
          </w:tcPr>
          <w:p w14:paraId="0CA968E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6-13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A29F77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Case 1 Single Tx UL LTE-NR DC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14:paraId="1706E3F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1) Case 1: DL-reference UL/DL configuration defined for LTE-FDD-</w:t>
            </w:r>
            <w:proofErr w:type="spellStart"/>
            <w:r w:rsidRPr="00613073">
              <w:rPr>
                <w:rFonts w:ascii="Arial" w:eastAsia="MS PGothic" w:hAnsi="Arial" w:cs="Arial"/>
                <w:sz w:val="16"/>
              </w:rPr>
              <w:t>SCell</w:t>
            </w:r>
            <w:proofErr w:type="spellEnd"/>
            <w:r w:rsidRPr="00613073">
              <w:rPr>
                <w:rFonts w:ascii="Arial" w:eastAsia="MS PGothic" w:hAnsi="Arial" w:cs="Arial"/>
                <w:sz w:val="16"/>
              </w:rPr>
              <w:t xml:space="preserve"> in LTE-TDD-FDD CA with LTE-TDD-</w:t>
            </w:r>
            <w:proofErr w:type="spellStart"/>
            <w:r w:rsidRPr="00613073">
              <w:rPr>
                <w:rFonts w:ascii="Arial" w:eastAsia="MS PGothic" w:hAnsi="Arial" w:cs="Arial"/>
                <w:sz w:val="16"/>
              </w:rPr>
              <w:t>PCell</w:t>
            </w:r>
            <w:proofErr w:type="spellEnd"/>
            <w:r w:rsidRPr="00613073">
              <w:rPr>
                <w:rFonts w:ascii="Arial" w:eastAsia="MS PGothic" w:hAnsi="Arial" w:cs="Arial"/>
                <w:sz w:val="16"/>
              </w:rPr>
              <w:br/>
              <w:t>2) HARQ subframe offset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14:paraId="7E63ADB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42" w:type="pct"/>
            <w:shd w:val="clear" w:color="auto" w:fill="auto"/>
            <w:vAlign w:val="center"/>
            <w:hideMark/>
          </w:tcPr>
          <w:p w14:paraId="510BB6B8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496D931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21" w:type="pct"/>
            <w:shd w:val="clear" w:color="auto" w:fill="auto"/>
            <w:vAlign w:val="center"/>
            <w:hideMark/>
          </w:tcPr>
          <w:p w14:paraId="0BB01EC4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  <w:highlight w:val="yellow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Type 2</w:t>
            </w:r>
          </w:p>
        </w:tc>
        <w:tc>
          <w:tcPr>
            <w:tcW w:w="142" w:type="pct"/>
            <w:shd w:val="clear" w:color="auto" w:fill="auto"/>
            <w:vAlign w:val="center"/>
            <w:hideMark/>
          </w:tcPr>
          <w:p w14:paraId="7E98F707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D49BFBA" w14:textId="77777777" w:rsidR="00613073" w:rsidRPr="00613073" w:rsidRDefault="00613073" w:rsidP="00FE68F6">
            <w:pPr>
              <w:snapToGrid w:val="0"/>
              <w:rPr>
                <w:rFonts w:ascii="Arial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214D29E6" w14:textId="77777777" w:rsidR="00613073" w:rsidRPr="00613073" w:rsidRDefault="00613073" w:rsidP="00FE68F6">
            <w:pPr>
              <w:snapToGrid w:val="0"/>
              <w:rPr>
                <w:rFonts w:ascii="Arial" w:eastAsia="Malgun Gothic" w:hAnsi="Arial" w:cs="Arial"/>
                <w:sz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284D228A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This is a UE feature for LTE for </w:t>
            </w:r>
            <w:proofErr w:type="gramStart"/>
            <w:r w:rsidRPr="00613073">
              <w:rPr>
                <w:rFonts w:ascii="Arial" w:eastAsia="MS PGothic" w:hAnsi="Arial" w:cs="Arial"/>
                <w:sz w:val="16"/>
              </w:rPr>
              <w:t>a</w:t>
            </w:r>
            <w:proofErr w:type="gramEnd"/>
            <w:r w:rsidRPr="00613073">
              <w:rPr>
                <w:rFonts w:ascii="Arial" w:eastAsia="MS PGothic" w:hAnsi="Arial" w:cs="Arial"/>
                <w:sz w:val="16"/>
              </w:rPr>
              <w:t xml:space="preserve"> LTE/NR dual connectivity UE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3232D4A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972" w:type="pct"/>
            <w:shd w:val="clear" w:color="000000" w:fill="BFBFBF"/>
            <w:vAlign w:val="center"/>
            <w:hideMark/>
          </w:tcPr>
          <w:p w14:paraId="6314362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14:paraId="196E2DD8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Mandatory with capability </w:t>
            </w:r>
            <w:proofErr w:type="spellStart"/>
            <w:r w:rsidRPr="00613073">
              <w:rPr>
                <w:rFonts w:ascii="Arial" w:eastAsia="MS PGothic" w:hAnsi="Arial" w:cs="Arial"/>
                <w:sz w:val="16"/>
              </w:rPr>
              <w:t>signaling</w:t>
            </w:r>
            <w:proofErr w:type="spellEnd"/>
          </w:p>
        </w:tc>
      </w:tr>
      <w:tr w:rsidR="00613073" w:rsidRPr="00705BA5" w14:paraId="56DA3557" w14:textId="77777777" w:rsidTr="00613073">
        <w:trPr>
          <w:trHeight w:val="10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113B" w14:textId="77777777" w:rsidR="00613073" w:rsidRPr="00613073" w:rsidDel="00D826F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8-1a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C7B9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Operation A with single UL Tx case 1 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BC0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3EBF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EN-DC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F5EE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B5C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791E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Type 2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6E67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64F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77C0" w14:textId="77777777" w:rsidR="00613073" w:rsidRPr="00613073" w:rsidRDefault="00613073" w:rsidP="00FE68F6">
            <w:pPr>
              <w:snapToGrid w:val="0"/>
              <w:rPr>
                <w:rFonts w:ascii="Arial" w:eastAsia="Malgun Gothic" w:hAnsi="Arial" w:cs="Arial"/>
                <w:sz w:val="16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C071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RP-172833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7D29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E1E88C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Mandatory with capability </w:t>
            </w:r>
            <w:proofErr w:type="spellStart"/>
            <w:r w:rsidRPr="00613073">
              <w:rPr>
                <w:rFonts w:ascii="Arial" w:eastAsia="MS PGothic" w:hAnsi="Arial" w:cs="Arial"/>
                <w:sz w:val="16"/>
              </w:rPr>
              <w:t>signaling</w:t>
            </w:r>
            <w:proofErr w:type="spellEnd"/>
            <w:r w:rsidRPr="00613073">
              <w:rPr>
                <w:rFonts w:ascii="Arial" w:eastAsia="MS PGothic" w:hAnsi="Arial" w:cs="Arial"/>
                <w:sz w:val="16"/>
              </w:rPr>
              <w:t xml:space="preserve"> conditioned that UE does not support dynamic power sharing, optional for UEs supporting dynamic power sharing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0FEF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Mandatory with capability </w:t>
            </w:r>
            <w:proofErr w:type="spellStart"/>
            <w:r w:rsidRPr="00613073">
              <w:rPr>
                <w:rFonts w:ascii="Arial" w:eastAsia="MS PGothic" w:hAnsi="Arial" w:cs="Arial"/>
                <w:sz w:val="16"/>
              </w:rPr>
              <w:t>signaling</w:t>
            </w:r>
            <w:proofErr w:type="spellEnd"/>
            <w:r w:rsidRPr="00613073">
              <w:rPr>
                <w:rFonts w:ascii="Arial" w:eastAsia="MS PGothic" w:hAnsi="Arial" w:cs="Arial"/>
                <w:sz w:val="16"/>
              </w:rPr>
              <w:t xml:space="preserve"> conditioned that UE does not support dynamic power sharing, i.e., UE indicate “0” as non-support for 8-1, optional for UEs supporting dynamic power sharing</w:t>
            </w:r>
          </w:p>
        </w:tc>
      </w:tr>
    </w:tbl>
    <w:p w14:paraId="4018DB64" w14:textId="14A56A44" w:rsidR="00613073" w:rsidRDefault="00613073" w:rsidP="00417EDD">
      <w:pPr>
        <w:spacing w:after="0"/>
        <w:rPr>
          <w:rFonts w:eastAsia="MS Mincho"/>
          <w:lang w:val="en-US"/>
        </w:rPr>
      </w:pPr>
    </w:p>
    <w:p w14:paraId="28EA6B80" w14:textId="202CA24E" w:rsidR="00613073" w:rsidRDefault="00B751B2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These two features were introduced for two different use cases: </w:t>
      </w:r>
    </w:p>
    <w:p w14:paraId="34EC36B0" w14:textId="3CED7A3A" w:rsidR="00B751B2" w:rsidRDefault="00B751B2" w:rsidP="00B751B2">
      <w:pPr>
        <w:pStyle w:val="ListParagraph"/>
        <w:numPr>
          <w:ilvl w:val="0"/>
          <w:numId w:val="16"/>
        </w:numPr>
        <w:spacing w:after="0"/>
        <w:rPr>
          <w:lang w:val="en-US"/>
        </w:rPr>
      </w:pPr>
      <w:r>
        <w:rPr>
          <w:lang w:val="en-US"/>
        </w:rPr>
        <w:t>FG 6-13: Introduced for single Tx capability, such as band combinations with difficult IMD, or certain intra-band contiguous EN-DC band combinations, e.g. b71-n71</w:t>
      </w:r>
    </w:p>
    <w:p w14:paraId="7D76DAF5" w14:textId="222B4FB7" w:rsidR="00B751B2" w:rsidRDefault="00B751B2" w:rsidP="00B751B2">
      <w:pPr>
        <w:pStyle w:val="ListParagraph"/>
        <w:numPr>
          <w:ilvl w:val="1"/>
          <w:numId w:val="16"/>
        </w:numPr>
        <w:spacing w:after="0"/>
        <w:rPr>
          <w:lang w:val="en-US"/>
        </w:rPr>
      </w:pPr>
      <w:r>
        <w:rPr>
          <w:lang w:val="en-US"/>
        </w:rPr>
        <w:t>Based on the agreed Way Forward in</w:t>
      </w:r>
      <w:r w:rsidR="00F64522">
        <w:rPr>
          <w:lang w:val="en-US"/>
        </w:rPr>
        <w:t xml:space="preserve"> [2]</w:t>
      </w:r>
    </w:p>
    <w:p w14:paraId="7BD89E7F" w14:textId="559AB0F7" w:rsidR="00B751B2" w:rsidRDefault="00B751B2" w:rsidP="00B751B2">
      <w:pPr>
        <w:pStyle w:val="ListParagraph"/>
        <w:numPr>
          <w:ilvl w:val="0"/>
          <w:numId w:val="16"/>
        </w:numPr>
        <w:spacing w:after="0"/>
        <w:rPr>
          <w:lang w:val="en-US"/>
        </w:rPr>
      </w:pPr>
      <w:r>
        <w:rPr>
          <w:lang w:val="en-US"/>
        </w:rPr>
        <w:t>FG 8-1a: Introduced for power sharing</w:t>
      </w:r>
      <w:r w:rsidR="00B05A77">
        <w:rPr>
          <w:lang w:val="en-US"/>
        </w:rPr>
        <w:t xml:space="preserve"> for Type 2 (not dynamic power sharing capable) UEs</w:t>
      </w:r>
    </w:p>
    <w:p w14:paraId="108ABA73" w14:textId="6DBDB73B" w:rsidR="00F64522" w:rsidRPr="00F64522" w:rsidRDefault="00F64522" w:rsidP="00F64522">
      <w:pPr>
        <w:pStyle w:val="ListParagraph"/>
        <w:numPr>
          <w:ilvl w:val="1"/>
          <w:numId w:val="16"/>
        </w:numPr>
        <w:spacing w:after="0"/>
        <w:rPr>
          <w:lang w:val="en-US"/>
        </w:rPr>
      </w:pPr>
      <w:r>
        <w:rPr>
          <w:lang w:val="en-US"/>
        </w:rPr>
        <w:t>Based on the agreed Way Forward in [3]</w:t>
      </w:r>
    </w:p>
    <w:p w14:paraId="3B281B3B" w14:textId="77777777" w:rsidR="00613073" w:rsidRDefault="00613073" w:rsidP="00417EDD">
      <w:pPr>
        <w:spacing w:after="0"/>
        <w:rPr>
          <w:rFonts w:eastAsia="MS Mincho"/>
          <w:lang w:val="en-US"/>
        </w:rPr>
      </w:pPr>
    </w:p>
    <w:p w14:paraId="56E3AD78" w14:textId="47216F88" w:rsidR="00B05A77" w:rsidRDefault="00B05A77" w:rsidP="007B0C0A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M</w:t>
      </w:r>
      <w:r w:rsidR="00A22065">
        <w:rPr>
          <w:rFonts w:eastAsia="MS Mincho"/>
          <w:lang w:val="en-US"/>
        </w:rPr>
        <w:t xml:space="preserve">andatory / optional status for FG 6-13 has not been discussed in RAN1. </w:t>
      </w:r>
      <w:r w:rsidR="00212712">
        <w:rPr>
          <w:rFonts w:eastAsia="MS Mincho"/>
          <w:lang w:val="en-US"/>
        </w:rPr>
        <w:t xml:space="preserve">The current mandatory designation </w:t>
      </w:r>
      <w:r>
        <w:rPr>
          <w:rFonts w:eastAsia="MS Mincho"/>
          <w:lang w:val="en-US"/>
        </w:rPr>
        <w:t xml:space="preserve">was </w:t>
      </w:r>
      <w:r w:rsidR="00212712">
        <w:rPr>
          <w:rFonts w:eastAsia="MS Mincho"/>
          <w:lang w:val="en-US"/>
        </w:rPr>
        <w:t>made at the Plenar</w:t>
      </w:r>
      <w:r>
        <w:rPr>
          <w:rFonts w:eastAsia="MS Mincho"/>
          <w:lang w:val="en-US"/>
        </w:rPr>
        <w:t>y</w:t>
      </w:r>
      <w:r w:rsidR="00591E93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but not based on prior agreements. </w:t>
      </w:r>
    </w:p>
    <w:p w14:paraId="0A58A3CC" w14:textId="0568B570" w:rsidR="007B0C0A" w:rsidRDefault="00B05A77" w:rsidP="007B0C0A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observe that the underlying functionality for FG 6-13 and FG 8-1a </w:t>
      </w:r>
      <w:r w:rsidR="00591E93">
        <w:rPr>
          <w:rFonts w:eastAsia="MS Mincho"/>
          <w:lang w:val="en-US"/>
        </w:rPr>
        <w:t>is</w:t>
      </w:r>
      <w:r>
        <w:rPr>
          <w:rFonts w:eastAsia="MS Mincho"/>
          <w:lang w:val="en-US"/>
        </w:rPr>
        <w:t xml:space="preserve"> identical. However, there is a conflict between the FG 6-13 and FG 8-1a mandatory / optional designation. As it was agreed [3], for Type 1 UEs, SUO Case 1 operation is optional, as captured in FG 8-1a. But for the same UEs, SUO Case 1 operation would be mandatory based on FG 6-13. We propose to resolve the conflict in definitions. </w:t>
      </w:r>
    </w:p>
    <w:p w14:paraId="51A4BF3C" w14:textId="38494773" w:rsidR="00212712" w:rsidRDefault="00212712" w:rsidP="007B0C0A">
      <w:pPr>
        <w:spacing w:after="0"/>
        <w:rPr>
          <w:rFonts w:eastAsia="MS Mincho"/>
          <w:lang w:val="en-US"/>
        </w:rPr>
      </w:pPr>
    </w:p>
    <w:p w14:paraId="6E46DAC5" w14:textId="6DCA4DFF" w:rsidR="00212712" w:rsidRDefault="00212712" w:rsidP="007B0C0A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Therefore, we make the following proposal. </w:t>
      </w:r>
    </w:p>
    <w:p w14:paraId="41F359E9" w14:textId="77777777" w:rsidR="00023844" w:rsidRDefault="00023844" w:rsidP="007B0C0A">
      <w:pPr>
        <w:spacing w:after="0"/>
        <w:rPr>
          <w:rFonts w:eastAsia="MS Mincho"/>
          <w:b/>
          <w:lang w:val="en-US"/>
        </w:rPr>
      </w:pPr>
    </w:p>
    <w:p w14:paraId="1B172443" w14:textId="7F52BF37" w:rsidR="007B0C0A" w:rsidRDefault="007B0C0A" w:rsidP="007B0C0A">
      <w:pPr>
        <w:spacing w:after="0"/>
        <w:rPr>
          <w:rFonts w:eastAsia="MS Mincho"/>
          <w:b/>
          <w:lang w:val="en-US"/>
        </w:rPr>
      </w:pPr>
      <w:r w:rsidRPr="007B0C0A">
        <w:rPr>
          <w:rFonts w:eastAsia="MS Mincho"/>
          <w:b/>
          <w:lang w:val="en-US"/>
        </w:rPr>
        <w:t xml:space="preserve">Proposal:  </w:t>
      </w:r>
      <w:r w:rsidR="00212712">
        <w:rPr>
          <w:rFonts w:eastAsia="MS Mincho"/>
          <w:b/>
          <w:lang w:val="en-US"/>
        </w:rPr>
        <w:t>For FG 6-13, change the mandatory designation to “mandatory with capability signaling for UEs not supporting simultaneous dual-Tx operation</w:t>
      </w:r>
      <w:r w:rsidR="007157EB">
        <w:rPr>
          <w:rFonts w:eastAsia="MS Mincho"/>
          <w:b/>
          <w:lang w:val="en-US"/>
        </w:rPr>
        <w:t xml:space="preserve"> in the band combination</w:t>
      </w:r>
      <w:r w:rsidR="00212712">
        <w:rPr>
          <w:rFonts w:eastAsia="MS Mincho"/>
          <w:b/>
          <w:lang w:val="en-US"/>
        </w:rPr>
        <w:t xml:space="preserve">”. </w:t>
      </w:r>
    </w:p>
    <w:p w14:paraId="60C240A1" w14:textId="3DB471E2" w:rsidR="007B0C0A" w:rsidRDefault="007B0C0A" w:rsidP="00D81F64">
      <w:pPr>
        <w:spacing w:after="0"/>
        <w:rPr>
          <w:rFonts w:eastAsia="MS Mincho"/>
          <w:b/>
          <w:lang w:val="en-US"/>
        </w:rPr>
      </w:pPr>
    </w:p>
    <w:p w14:paraId="2D94407F" w14:textId="2B7B0308" w:rsidR="007B0C0A" w:rsidRDefault="007B0C0A" w:rsidP="00D81F64">
      <w:pPr>
        <w:spacing w:after="0"/>
        <w:rPr>
          <w:rFonts w:eastAsia="MS Mincho"/>
          <w:lang w:val="en-US"/>
        </w:rPr>
      </w:pPr>
    </w:p>
    <w:p w14:paraId="29301AE8" w14:textId="47D5506C" w:rsidR="007B0C0A" w:rsidRDefault="00212712" w:rsidP="00D81F64">
      <w:pPr>
        <w:spacing w:after="0"/>
        <w:rPr>
          <w:rFonts w:eastAsia="MS Mincho"/>
          <w:u w:val="single"/>
          <w:lang w:val="en-US"/>
        </w:rPr>
      </w:pPr>
      <w:r>
        <w:rPr>
          <w:rFonts w:eastAsia="MS Mincho"/>
          <w:u w:val="single"/>
          <w:lang w:val="en-US"/>
        </w:rPr>
        <w:t>Isolated i</w:t>
      </w:r>
      <w:r w:rsidR="007B0C0A" w:rsidRPr="007B0C0A">
        <w:rPr>
          <w:rFonts w:eastAsia="MS Mincho"/>
          <w:u w:val="single"/>
          <w:lang w:val="en-US"/>
        </w:rPr>
        <w:t>mpact analysis:</w:t>
      </w:r>
    </w:p>
    <w:p w14:paraId="56022BE4" w14:textId="1817FF21" w:rsidR="00212712" w:rsidRPr="00212712" w:rsidRDefault="00212712" w:rsidP="00212712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agreeing to </w:t>
      </w:r>
      <w:r w:rsidR="009210D2">
        <w:rPr>
          <w:rFonts w:eastAsia="MS Mincho"/>
          <w:lang w:val="en-US"/>
        </w:rPr>
        <w:t>the</w:t>
      </w:r>
      <w:r w:rsidR="007157EB">
        <w:rPr>
          <w:rFonts w:eastAsia="MS Mincho"/>
          <w:lang w:val="en-US"/>
        </w:rPr>
        <w:t xml:space="preserve"> p</w:t>
      </w:r>
      <w:r w:rsidR="009210D2">
        <w:rPr>
          <w:rFonts w:eastAsia="MS Mincho"/>
          <w:lang w:val="en-US"/>
        </w:rPr>
        <w:t>roposal above</w:t>
      </w:r>
      <w:r>
        <w:rPr>
          <w:rFonts w:eastAsia="MS Mincho"/>
          <w:lang w:val="en-US"/>
        </w:rPr>
        <w:t xml:space="preserve"> would not introduce backward compatibility issues and </w:t>
      </w:r>
      <w:r w:rsidR="00591E93">
        <w:rPr>
          <w:rFonts w:eastAsia="MS Mincho"/>
          <w:lang w:val="en-US"/>
        </w:rPr>
        <w:t>there is no need</w:t>
      </w:r>
      <w:r>
        <w:rPr>
          <w:rFonts w:eastAsia="MS Mincho"/>
          <w:lang w:val="en-US"/>
        </w:rPr>
        <w:t xml:space="preserve"> to introduce any new signaling.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3A4FB463" w14:textId="77777777" w:rsidR="00CB16FB" w:rsidRPr="00DD3C8B" w:rsidRDefault="00CB16FB" w:rsidP="00FE7145">
      <w:pPr>
        <w:pStyle w:val="Heading1"/>
        <w:rPr>
          <w:rFonts w:cs="Arial"/>
        </w:rPr>
      </w:pPr>
      <w:r>
        <w:lastRenderedPageBreak/>
        <w:t>Conclusions</w:t>
      </w:r>
    </w:p>
    <w:p w14:paraId="72D79693" w14:textId="269DB203" w:rsidR="00BD3480" w:rsidRDefault="00CB16FB" w:rsidP="009210D2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</w:t>
      </w:r>
      <w:r>
        <w:rPr>
          <w:lang w:val="en-US"/>
        </w:rPr>
        <w:t xml:space="preserve"> ha</w:t>
      </w:r>
      <w:r w:rsidR="00212712">
        <w:rPr>
          <w:lang w:val="en-US"/>
        </w:rPr>
        <w:t>s</w:t>
      </w:r>
      <w:r>
        <w:rPr>
          <w:lang w:val="en-US"/>
        </w:rPr>
        <w:t xml:space="preserve"> been made:</w:t>
      </w:r>
    </w:p>
    <w:p w14:paraId="0AC2F609" w14:textId="77777777" w:rsidR="003F6516" w:rsidRPr="009210D2" w:rsidRDefault="003F6516" w:rsidP="009210D2">
      <w:pPr>
        <w:rPr>
          <w:lang w:val="en-US"/>
        </w:rPr>
      </w:pPr>
    </w:p>
    <w:p w14:paraId="70985542" w14:textId="206329DF" w:rsidR="009210D2" w:rsidRDefault="009210D2" w:rsidP="009210D2">
      <w:pPr>
        <w:spacing w:after="0"/>
        <w:rPr>
          <w:rFonts w:eastAsia="MS Mincho"/>
          <w:b/>
          <w:lang w:val="en-US"/>
        </w:rPr>
      </w:pPr>
      <w:r w:rsidRPr="007B0C0A">
        <w:rPr>
          <w:rFonts w:eastAsia="MS Mincho"/>
          <w:b/>
          <w:lang w:val="en-US"/>
        </w:rPr>
        <w:t xml:space="preserve">Proposal:  </w:t>
      </w:r>
      <w:r>
        <w:rPr>
          <w:rFonts w:eastAsia="MS Mincho"/>
          <w:b/>
          <w:lang w:val="en-US"/>
        </w:rPr>
        <w:t>For FG 6-13, change the mandatory designation to “mandatory with capability signaling for UEs not supporting simultaneous dual-Tx operation</w:t>
      </w:r>
      <w:r w:rsidR="00591E93">
        <w:rPr>
          <w:rFonts w:eastAsia="MS Mincho"/>
          <w:b/>
          <w:lang w:val="en-US"/>
        </w:rPr>
        <w:t xml:space="preserve"> in the band combination</w:t>
      </w:r>
      <w:r>
        <w:rPr>
          <w:rFonts w:eastAsia="MS Mincho"/>
          <w:b/>
          <w:lang w:val="en-US"/>
        </w:rPr>
        <w:t xml:space="preserve">”. </w:t>
      </w:r>
    </w:p>
    <w:p w14:paraId="1BBEF975" w14:textId="6276E260" w:rsidR="004C398C" w:rsidRDefault="004C398C" w:rsidP="004C398C">
      <w:pPr>
        <w:spacing w:after="0"/>
        <w:rPr>
          <w:b/>
          <w:lang w:val="en-US"/>
        </w:rPr>
      </w:pPr>
    </w:p>
    <w:p w14:paraId="05D7578B" w14:textId="77777777" w:rsidR="009210D2" w:rsidRPr="004C398C" w:rsidRDefault="009210D2" w:rsidP="004C398C">
      <w:pPr>
        <w:spacing w:after="0"/>
        <w:rPr>
          <w:b/>
          <w:lang w:val="en-US"/>
        </w:rPr>
      </w:pPr>
    </w:p>
    <w:p w14:paraId="3208521D" w14:textId="4CE94A73" w:rsidR="00F05D08" w:rsidRDefault="00CB16FB" w:rsidP="003631EC">
      <w:pPr>
        <w:pStyle w:val="Heading1"/>
        <w:numPr>
          <w:ilvl w:val="0"/>
          <w:numId w:val="4"/>
        </w:numPr>
      </w:pPr>
      <w:r>
        <w:t>References</w:t>
      </w:r>
    </w:p>
    <w:p w14:paraId="7B75E5F2" w14:textId="44C2CD09" w:rsidR="00126D97" w:rsidRDefault="00613073" w:rsidP="00D909B0">
      <w:pPr>
        <w:numPr>
          <w:ilvl w:val="0"/>
          <w:numId w:val="5"/>
        </w:numPr>
        <w:textAlignment w:val="auto"/>
      </w:pPr>
      <w:r w:rsidRPr="00613073">
        <w:t>R1-1907862</w:t>
      </w:r>
      <w:r>
        <w:t>, “</w:t>
      </w:r>
      <w:r w:rsidRPr="00613073">
        <w:t>RAN1 NR UE features</w:t>
      </w:r>
      <w:r>
        <w:t>”, NTT DOCOMO</w:t>
      </w:r>
    </w:p>
    <w:p w14:paraId="0040B567" w14:textId="1FDC8323" w:rsidR="00B751B2" w:rsidRDefault="00B751B2" w:rsidP="00D909B0">
      <w:pPr>
        <w:numPr>
          <w:ilvl w:val="0"/>
          <w:numId w:val="5"/>
        </w:numPr>
        <w:textAlignment w:val="auto"/>
      </w:pPr>
      <w:r w:rsidRPr="00B751B2">
        <w:t>RP-172064</w:t>
      </w:r>
      <w:r>
        <w:t>, “</w:t>
      </w:r>
      <w:r w:rsidRPr="00B751B2">
        <w:t>Single Tx switched UL</w:t>
      </w:r>
      <w:r>
        <w:t>”, Qualcomm, Intel</w:t>
      </w:r>
    </w:p>
    <w:p w14:paraId="472901F5" w14:textId="57B9BDE8" w:rsidR="00613073" w:rsidRDefault="00B751B2" w:rsidP="00D909B0">
      <w:pPr>
        <w:numPr>
          <w:ilvl w:val="0"/>
          <w:numId w:val="5"/>
        </w:numPr>
        <w:textAlignment w:val="auto"/>
      </w:pPr>
      <w:r w:rsidRPr="00B751B2">
        <w:t>RP-172833</w:t>
      </w:r>
      <w:r>
        <w:t>, “</w:t>
      </w:r>
      <w:r w:rsidRPr="00B751B2">
        <w:t>Way Forward on NR EN-DC power sharing capability</w:t>
      </w:r>
      <w:r>
        <w:t>”, Qualcomm</w:t>
      </w:r>
    </w:p>
    <w:p w14:paraId="0BB7652C" w14:textId="7D443328" w:rsidR="00372BF7" w:rsidRDefault="00372BF7" w:rsidP="00D909B0">
      <w:pPr>
        <w:numPr>
          <w:ilvl w:val="0"/>
          <w:numId w:val="5"/>
        </w:numPr>
        <w:textAlignment w:val="auto"/>
      </w:pPr>
      <w:r>
        <w:t>RP-172100, “</w:t>
      </w:r>
      <w:r w:rsidRPr="00372BF7">
        <w:t>LS on single Tx switched UL</w:t>
      </w:r>
      <w:r>
        <w:t>”, RAN, Qualcomm, Intel</w:t>
      </w:r>
      <w:bookmarkStart w:id="2" w:name="_GoBack"/>
      <w:bookmarkEnd w:id="2"/>
    </w:p>
    <w:sectPr w:rsidR="00372BF7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962CE" w14:textId="77777777" w:rsidR="00952871" w:rsidRDefault="00952871">
      <w:r>
        <w:separator/>
      </w:r>
    </w:p>
    <w:p w14:paraId="2D60567F" w14:textId="77777777" w:rsidR="00952871" w:rsidRDefault="00952871"/>
  </w:endnote>
  <w:endnote w:type="continuationSeparator" w:id="0">
    <w:p w14:paraId="1B994822" w14:textId="77777777" w:rsidR="00952871" w:rsidRDefault="00952871">
      <w:r>
        <w:continuationSeparator/>
      </w:r>
    </w:p>
    <w:p w14:paraId="6270FB51" w14:textId="77777777" w:rsidR="00952871" w:rsidRDefault="009528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1AA4D" w14:textId="77777777" w:rsidR="00952871" w:rsidRDefault="00952871">
      <w:r>
        <w:separator/>
      </w:r>
    </w:p>
    <w:p w14:paraId="233F14CE" w14:textId="77777777" w:rsidR="00952871" w:rsidRDefault="00952871"/>
  </w:footnote>
  <w:footnote w:type="continuationSeparator" w:id="0">
    <w:p w14:paraId="1F13E802" w14:textId="77777777" w:rsidR="00952871" w:rsidRDefault="00952871">
      <w:r>
        <w:continuationSeparator/>
      </w:r>
    </w:p>
    <w:p w14:paraId="59B85AA2" w14:textId="77777777" w:rsidR="00952871" w:rsidRDefault="009528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8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4FA0637"/>
    <w:multiLevelType w:val="hybridMultilevel"/>
    <w:tmpl w:val="3DAAE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4"/>
  </w:num>
  <w:num w:numId="12">
    <w:abstractNumId w:val="12"/>
  </w:num>
  <w:num w:numId="13">
    <w:abstractNumId w:val="5"/>
  </w:num>
  <w:num w:numId="14">
    <w:abstractNumId w:val="2"/>
  </w:num>
  <w:num w:numId="15">
    <w:abstractNumId w:val="3"/>
  </w:num>
  <w:num w:numId="1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0607"/>
    <w:rsid w:val="00023844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3D6D"/>
    <w:rsid w:val="001845EA"/>
    <w:rsid w:val="00184960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4841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2712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1944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8BC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5ACB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2BF7"/>
    <w:rsid w:val="00373086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2A6"/>
    <w:rsid w:val="003C0497"/>
    <w:rsid w:val="003C0BE9"/>
    <w:rsid w:val="003C1030"/>
    <w:rsid w:val="003C5ABA"/>
    <w:rsid w:val="003C6BF8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3F6516"/>
    <w:rsid w:val="00400157"/>
    <w:rsid w:val="004010DA"/>
    <w:rsid w:val="0040207E"/>
    <w:rsid w:val="00402085"/>
    <w:rsid w:val="004021FD"/>
    <w:rsid w:val="00404641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0E7D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C398C"/>
    <w:rsid w:val="004D17B2"/>
    <w:rsid w:val="004D1F0B"/>
    <w:rsid w:val="004D2582"/>
    <w:rsid w:val="004D43A8"/>
    <w:rsid w:val="004D743B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0F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1E93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3073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57EB"/>
    <w:rsid w:val="007169BC"/>
    <w:rsid w:val="00717945"/>
    <w:rsid w:val="00720F2E"/>
    <w:rsid w:val="00722187"/>
    <w:rsid w:val="00722330"/>
    <w:rsid w:val="0072390D"/>
    <w:rsid w:val="00723FBD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6B67"/>
    <w:rsid w:val="0076759B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96C6B"/>
    <w:rsid w:val="007A1506"/>
    <w:rsid w:val="007A180C"/>
    <w:rsid w:val="007A1E30"/>
    <w:rsid w:val="007A1E71"/>
    <w:rsid w:val="007A3469"/>
    <w:rsid w:val="007A64B9"/>
    <w:rsid w:val="007A64DA"/>
    <w:rsid w:val="007B0C0A"/>
    <w:rsid w:val="007B0C23"/>
    <w:rsid w:val="007B3F66"/>
    <w:rsid w:val="007B5E20"/>
    <w:rsid w:val="007C022E"/>
    <w:rsid w:val="007C58F6"/>
    <w:rsid w:val="007C5AAD"/>
    <w:rsid w:val="007C6518"/>
    <w:rsid w:val="007C66C6"/>
    <w:rsid w:val="007C6F5B"/>
    <w:rsid w:val="007C78B3"/>
    <w:rsid w:val="007D356D"/>
    <w:rsid w:val="007D69B9"/>
    <w:rsid w:val="007D76A6"/>
    <w:rsid w:val="007E2A46"/>
    <w:rsid w:val="007E3CE3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0D2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871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065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5A77"/>
    <w:rsid w:val="00B05F62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1B2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7521A"/>
    <w:rsid w:val="00D80470"/>
    <w:rsid w:val="00D80CC2"/>
    <w:rsid w:val="00D81F64"/>
    <w:rsid w:val="00D828ED"/>
    <w:rsid w:val="00D82C98"/>
    <w:rsid w:val="00D85544"/>
    <w:rsid w:val="00D87457"/>
    <w:rsid w:val="00D909B0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6D58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463C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4BD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2F2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522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145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4195BDC7-A804-49E2-ACD1-4E3C2903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15</cp:revision>
  <cp:lastPrinted>2003-09-26T18:29:00Z</cp:lastPrinted>
  <dcterms:created xsi:type="dcterms:W3CDTF">2019-05-26T21:24:00Z</dcterms:created>
  <dcterms:modified xsi:type="dcterms:W3CDTF">2019-05-27T04:31:00Z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